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EFE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EFE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550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ormlnywebov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35504"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 xml:space="preserve">Čistička vzduchu </w:t>
                              </w:r>
                              <w:proofErr w:type="spellStart"/>
                              <w:r w:rsidRPr="00D35504"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>Zepter</w:t>
                              </w:r>
                              <w:proofErr w:type="spellEnd"/>
                              <w:r w:rsidRPr="00D35504"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D35504"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>Therapy</w:t>
                              </w:r>
                              <w:proofErr w:type="spellEnd"/>
                              <w:r w:rsidRPr="00D35504"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 xml:space="preserve"> AIR PLUS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35504" w:rsidRDefault="00D35504" w:rsidP="00D35504">
      <w:pPr>
        <w:shd w:val="clear" w:color="auto" w:fill="D1D2DD"/>
        <w:rPr>
          <w:vanish/>
          <w:lang w:val="sk-SK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p w:rsidR="00D35504" w:rsidRDefault="00D35504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166360" cy="2567940"/>
                      <wp:effectExtent l="0" t="0" r="0" b="3810"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256794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link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jc w:val="center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51"/>
                                  </w:tblGrid>
                                  <w:tr w:rsidR="00D3550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465" w:type="dxa"/>
                                          <w:left w:w="0" w:type="dxa"/>
                                          <w:bottom w:w="465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tbl>
                                        <w:tblPr>
                                          <w:tblW w:w="0" w:type="auto"/>
                                          <w:jc w:val="center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136"/>
                                        </w:tblGrid>
                                        <w:tr w:rsidR="00D35504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9000" w:type="dxa"/>
                                              <w:hideMark/>
                                            </w:tcPr>
                                            <w:tbl>
                                              <w:tblPr>
                                                <w:tblW w:w="5000" w:type="pct"/>
                                                <w:tblCellMar>
                                                  <w:left w:w="0" w:type="dxa"/>
                                                  <w:right w:w="0" w:type="dxa"/>
                                                </w:tblCellMar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8136"/>
                                              </w:tblGrid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spacing w:line="150" w:lineRule="exact"/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spacing w:line="1500" w:lineRule="exact"/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spacing w:line="1500" w:lineRule="exact"/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spacing w:line="1500" w:lineRule="exact"/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D35504" w:rsidRDefault="00D35504">
                                              <w:pPr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35504" w:rsidRDefault="00D35504">
                                        <w:pPr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35504" w:rsidRDefault="00D35504" w:rsidP="00D35504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7" o:spid="_x0000_s1026" style="width:406.8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" stroked="f">
                      <v:fill r:id="rId5" recolor="t" type="frame"/>
                      <v:textbox inset="0,0,0,0"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51"/>
                            </w:tblGrid>
                            <w:tr w:rsidR="00D35504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Mar>
                                    <w:top w:w="465" w:type="dxa"/>
                                    <w:left w:w="0" w:type="dxa"/>
                                    <w:bottom w:w="465" w:type="dxa"/>
                                    <w:right w:w="0" w:type="dxa"/>
                                  </w:tcMar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36"/>
                                  </w:tblGrid>
                                  <w:tr w:rsidR="00D3550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000" w:type="dxa"/>
                                        <w:hideMark/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136"/>
                                        </w:tblGrid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spacing w:line="150" w:lineRule="exact"/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spacing w:line="1500" w:lineRule="exact"/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spacing w:line="1500" w:lineRule="exact"/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spacing w:line="1500" w:lineRule="exact"/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35504" w:rsidRDefault="00D35504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35504" w:rsidRDefault="00D35504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504" w:rsidRDefault="00D35504" w:rsidP="00D35504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D3550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5504" w:rsidRDefault="00D35504">
                              <w:pPr>
                                <w:pStyle w:val="Normlnywebov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30"/>
                                  <w:szCs w:val="30"/>
                                </w:rPr>
                                <w:t>MARKETING MANAGEMENT</w:t>
                              </w:r>
                            </w:p>
                          </w:tc>
                        </w:tr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D35504">
                                <w:trPr>
                                  <w:jc w:val="center"/>
                                </w:trPr>
                                <w:tc>
                                  <w:tcPr>
                                    <w:tcW w:w="2880" w:type="dxa"/>
                                    <w:vAlign w:val="center"/>
                                    <w:hideMark/>
                                  </w:tcPr>
                                  <w:p w:rsidR="00D35504" w:rsidRDefault="00D3550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828800" cy="1592580"/>
                                          <wp:effectExtent l="0" t="0" r="0" b="7620"/>
                                          <wp:docPr id="4" name="Obrázok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28800" cy="1592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35504" w:rsidRDefault="00D3550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ČO THERAPY AIR DOKÁŽE? 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Odstráni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zo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vzduchu až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99%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všetkých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nečistôt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t xml:space="preserve">Dezinfikuje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t>prostredie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t>vírusov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t xml:space="preserve"> a baktérii 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vzduch.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Zabíja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vírusy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baktérie 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pliesne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Posilňuje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imunitný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systém.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Poskytuje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úľavu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alergikom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astmatikom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Neutralizuje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nepríjemné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pachy.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Zlepšuje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duševnú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pohodu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35504" w:rsidRDefault="00D35504" w:rsidP="00D35504">
      <w:pPr>
        <w:shd w:val="clear" w:color="auto" w:fill="D1D2DD"/>
        <w:rPr>
          <w:vanish/>
          <w:lang w:val="sk-SK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p w:rsidR="00D35504" w:rsidRDefault="00D35504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113020" cy="1455420"/>
                      <wp:effectExtent l="0" t="0" r="0" b="0"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3020" cy="145542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link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jc w:val="center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67"/>
                                  </w:tblGrid>
                                  <w:tr w:rsidR="00D3550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tbl>
                                        <w:tblPr>
                                          <w:tblW w:w="0" w:type="auto"/>
                                          <w:jc w:val="center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876"/>
                                          <w:gridCol w:w="4176"/>
                                        </w:tblGrid>
                                        <w:tr w:rsidR="00D35504">
                                          <w:trPr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4500" w:type="dxa"/>
                                              <w:hideMark/>
                                            </w:tcPr>
                                            <w:tbl>
                                              <w:tblPr>
                                                <w:tblW w:w="5000" w:type="pct"/>
                                                <w:tblCellMar>
                                                  <w:left w:w="0" w:type="dxa"/>
                                                  <w:right w:w="0" w:type="dxa"/>
                                                </w:tblCellMar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876"/>
                                              </w:tblGrid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tcMar>
                                                      <w:top w:w="0" w:type="dxa"/>
                                                      <w:left w:w="300" w:type="dxa"/>
                                                      <w:bottom w:w="0" w:type="dxa"/>
                                                      <w:right w:w="105" w:type="dxa"/>
                                                    </w:tcMar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pStyle w:val="Normlnywebov"/>
                                                      <w:rPr>
                                                        <w:rFonts w:ascii="Tahoma" w:hAnsi="Tahoma" w:cs="Tahoma"/>
                                                        <w:color w:val="000000"/>
                                                        <w:sz w:val="17"/>
                                                        <w:szCs w:val="17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3 fázový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 xml:space="preserve"> proces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čistenia</w:t>
                                                    </w:r>
                                                    <w:proofErr w:type="spellEnd"/>
                                                  </w:p>
                                                  <w:p w:rsidR="00D35504" w:rsidRDefault="00D35504">
                                                    <w:pPr>
                                                      <w:pStyle w:val="Normlnywebov"/>
                                                      <w:rPr>
                                                        <w:rFonts w:ascii="Tahoma" w:hAnsi="Tahoma" w:cs="Tahoma"/>
                                                        <w:color w:val="000000"/>
                                                        <w:sz w:val="17"/>
                                                        <w:szCs w:val="17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1. 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Mikrofilter</w:t>
                                                    </w:r>
                                                    <w:proofErr w:type="spellEnd"/>
                                                  </w:p>
                                                  <w:p w:rsidR="00D35504" w:rsidRDefault="00D35504">
                                                    <w:pPr>
                                                      <w:pStyle w:val="Normlnywebov"/>
                                                      <w:rPr>
                                                        <w:rFonts w:ascii="Tahoma" w:hAnsi="Tahoma" w:cs="Tahoma"/>
                                                        <w:color w:val="000000"/>
                                                        <w:sz w:val="17"/>
                                                        <w:szCs w:val="17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2. Modul (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ionizačná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 xml:space="preserve"> komora)</w:t>
                                                    </w:r>
                                                  </w:p>
                                                  <w:p w:rsidR="00D35504" w:rsidRDefault="00D35504">
                                                    <w:pPr>
                                                      <w:pStyle w:val="Normlnywebov"/>
                                                      <w:rPr>
                                                        <w:rFonts w:ascii="Tahoma" w:hAnsi="Tahoma" w:cs="Tahoma"/>
                                                        <w:color w:val="000000"/>
                                                        <w:sz w:val="17"/>
                                                        <w:szCs w:val="17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ahoma" w:hAnsi="Tahoma" w:cs="Tahoma"/>
                                                        <w:b/>
                                                        <w:bCs/>
                                                        <w:color w:val="FFFFFF"/>
                                                        <w:sz w:val="30"/>
                                                        <w:szCs w:val="30"/>
                                                      </w:rPr>
                                                      <w:t>3. Katalyzátor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pPr>
                                                      <w:spacing w:line="150" w:lineRule="exact"/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"/>
                                                        <w:szCs w:val="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D35504" w:rsidRDefault="00D35504">
                                              <w:pPr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500" w:type="dxa"/>
                                              <w:hideMark/>
                                            </w:tcPr>
                                            <w:tbl>
                                              <w:tblPr>
                                                <w:tblW w:w="5000" w:type="pct"/>
                                                <w:tblCellMar>
                                                  <w:left w:w="0" w:type="dxa"/>
                                                  <w:right w:w="0" w:type="dxa"/>
                                                </w:tblCellMar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4176"/>
                                              </w:tblGrid>
                                              <w:tr w:rsidR="00D35504">
                                                <w:tc>
                                                  <w:tcPr>
                                                    <w:tcW w:w="0" w:type="auto"/>
                                                    <w:tcMar>
                                                      <w:top w:w="270" w:type="dxa"/>
                                                      <w:left w:w="255" w:type="dxa"/>
                                                      <w:bottom w:w="285" w:type="dxa"/>
                                                      <w:right w:w="255" w:type="dxa"/>
                                                    </w:tcMar>
                                                    <w:vAlign w:val="center"/>
                                                    <w:hideMark/>
                                                  </w:tcPr>
                                                  <w:tbl>
                                                    <w:tblPr>
                                                      <w:tblW w:w="0" w:type="auto"/>
                                                      <w:jc w:val="center"/>
                                                      <w:tblCellMar>
                                                        <w:left w:w="0" w:type="dxa"/>
                                                        <w:right w:w="0" w:type="dxa"/>
                                                      </w:tblCellMar>
                                                      <w:tblLook w:val="04A0" w:firstRow="1" w:lastRow="0" w:firstColumn="1" w:lastColumn="0" w:noHBand="0" w:noVBand="1"/>
                                                    </w:tblPr>
                                                    <w:tblGrid>
                                                      <w:gridCol w:w="3666"/>
                                                    </w:tblGrid>
                                                    <w:tr w:rsidR="00D35504">
                                                      <w:trPr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3990" w:type="dxa"/>
                                                          <w:vAlign w:val="center"/>
                                                          <w:hideMark/>
                                                        </w:tcPr>
                                                        <w:p w:rsidR="00D35504" w:rsidRDefault="00D35504">
                                                          <w:r>
                                                            <w:rPr>
                                                              <w:rFonts w:eastAsia="Times New Roman"/>
                                                              <w:noProof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drawing>
                                                              <wp:inline distT="0" distB="0" distL="0" distR="0">
                                                                <wp:extent cx="1828800" cy="961081"/>
                                                                <wp:effectExtent l="0" t="0" r="0" b="0"/>
                                                                <wp:docPr id="5" name="Obrázok 5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0" name="Picture 7"/>
                                                                        <pic:cNvPicPr>
                                                                          <a:picLocks noChangeAspect="1" noChangeArrowheads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link="rId8">
                                                                          <a:extLst>
                                                                            <a:ext uri="{28A0092B-C50C-407E-A947-70E740481C1C}">
                                                                              <a14:useLocalDpi xmlns:a14="http://schemas.microsoft.com/office/drawing/2010/main" val="0"/>
                                                                            </a:ext>
                                                                          </a:extLst>
                                                                        </a:blip>
                                                                        <a:srcRect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1858517" cy="976698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D35504" w:rsidRDefault="00D35504">
                                                    <w:pPr>
                                                      <w:jc w:val="center"/>
                                                      <w:rPr>
                                                        <w:rFonts w:eastAsia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D35504" w:rsidRDefault="00D35504">
                                              <w:pPr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35504" w:rsidRDefault="00D35504">
                                        <w:pPr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35504" w:rsidRDefault="00D35504" w:rsidP="00D35504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6" o:spid="_x0000_s1027" style="width:402.6pt;height:1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" stroked="f">
                      <v:fill r:id="rId9" recolor="t" type="frame"/>
                      <v:textbox inset="0,0,0,0"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67"/>
                            </w:tblGrid>
                            <w:tr w:rsidR="00D35504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6"/>
                                    <w:gridCol w:w="4176"/>
                                  </w:tblGrid>
                                  <w:tr w:rsidR="00D3550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500" w:type="dxa"/>
                                        <w:hideMark/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876"/>
                                        </w:tblGrid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0" w:type="dxa"/>
                                                <w:left w:w="300" w:type="dxa"/>
                                                <w:bottom w:w="0" w:type="dxa"/>
                                                <w:right w:w="105" w:type="dxa"/>
                                              </w:tcMar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pStyle w:val="Normlnywebov"/>
                                                <w:rPr>
                                                  <w:rFonts w:ascii="Tahoma" w:hAnsi="Tahoma" w:cs="Tahoma"/>
                                                  <w:color w:val="000000"/>
                                                  <w:sz w:val="17"/>
                                                  <w:szCs w:val="17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3 fázový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 xml:space="preserve"> proces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čistenia</w:t>
                                              </w:r>
                                              <w:proofErr w:type="spellEnd"/>
                                            </w:p>
                                            <w:p w:rsidR="00D35504" w:rsidRDefault="00D35504">
                                              <w:pPr>
                                                <w:pStyle w:val="Normlnywebov"/>
                                                <w:rPr>
                                                  <w:rFonts w:ascii="Tahoma" w:hAnsi="Tahoma" w:cs="Tahoma"/>
                                                  <w:color w:val="000000"/>
                                                  <w:sz w:val="17"/>
                                                  <w:szCs w:val="17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1. 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Mikrofilter</w:t>
                                              </w:r>
                                              <w:proofErr w:type="spellEnd"/>
                                            </w:p>
                                            <w:p w:rsidR="00D35504" w:rsidRDefault="00D35504">
                                              <w:pPr>
                                                <w:pStyle w:val="Normlnywebov"/>
                                                <w:rPr>
                                                  <w:rFonts w:ascii="Tahoma" w:hAnsi="Tahoma" w:cs="Tahoma"/>
                                                  <w:color w:val="000000"/>
                                                  <w:sz w:val="17"/>
                                                  <w:szCs w:val="17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2. Modul (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ionizačná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 xml:space="preserve"> komora)</w:t>
                                              </w:r>
                                            </w:p>
                                            <w:p w:rsidR="00D35504" w:rsidRDefault="00D35504">
                                              <w:pPr>
                                                <w:pStyle w:val="Normlnywebov"/>
                                                <w:rPr>
                                                  <w:rFonts w:ascii="Tahoma" w:hAnsi="Tahoma" w:cs="Tahoma"/>
                                                  <w:color w:val="000000"/>
                                                  <w:sz w:val="17"/>
                                                  <w:szCs w:val="17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ahoma" w:hAnsi="Tahoma" w:cs="Tahoma"/>
                                                  <w:b/>
                                                  <w:bCs/>
                                                  <w:color w:val="FFFFFF"/>
                                                  <w:sz w:val="30"/>
                                                  <w:szCs w:val="30"/>
                                                </w:rPr>
                                                <w:t>3. Katalyzátor</w:t>
                                              </w:r>
                                            </w:p>
                                          </w:tc>
                                        </w:tr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:rsidR="00D35504" w:rsidRDefault="00D35504">
                                              <w:pPr>
                                                <w:spacing w:line="150" w:lineRule="exact"/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"/>
                                                  <w:szCs w:val="2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35504" w:rsidRDefault="00D35504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0" w:type="dxa"/>
                                        <w:hideMark/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176"/>
                                        </w:tblGrid>
                                        <w:tr w:rsidR="00D35504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270" w:type="dxa"/>
                                                <w:left w:w="255" w:type="dxa"/>
                                                <w:bottom w:w="285" w:type="dxa"/>
                                                <w:right w:w="255" w:type="dxa"/>
                                              </w:tcMar>
                                              <w:vAlign w:val="center"/>
                                              <w:hideMark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jc w:val="center"/>
                                                <w:tblCellMar>
                                                  <w:left w:w="0" w:type="dxa"/>
                                                  <w:right w:w="0" w:type="dxa"/>
                                                </w:tblCellMar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666"/>
                                              </w:tblGrid>
                                              <w:tr w:rsidR="00D35504">
                                                <w:trPr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3990" w:type="dxa"/>
                                                    <w:vAlign w:val="center"/>
                                                    <w:hideMark/>
                                                  </w:tcPr>
                                                  <w:p w:rsidR="00D35504" w:rsidRDefault="00D35504">
                                                    <w:r>
                                                      <w:rPr>
                                                        <w:rFonts w:eastAsia="Times New Roman"/>
                                                        <w:noProof/>
                                                        <w:sz w:val="20"/>
                                                        <w:szCs w:val="20"/>
                                                      </w:rPr>
                                                      <w:drawing>
                                                        <wp:inline distT="0" distB="0" distL="0" distR="0">
                                                          <wp:extent cx="1828800" cy="961081"/>
                                                          <wp:effectExtent l="0" t="0" r="0" b="0"/>
                                                          <wp:docPr id="5" name="Obrázok 5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0" name="Picture 7"/>
                                                                  <pic:cNvPicPr>
                                                                    <a:picLocks noChangeAspect="1" noChangeArrowheads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link="rId8">
                                                                    <a:extLst>
                                                                      <a:ext uri="{28A0092B-C50C-407E-A947-70E740481C1C}">
                                                                        <a14:useLocalDpi xmlns:a14="http://schemas.microsoft.com/office/drawing/2010/main" val="0"/>
                                                                      </a:ext>
                                                                    </a:extLst>
                                                                  </a:blip>
                                                                  <a:srcRect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 bwMode="auto">
                                                                  <a:xfrm>
                                                                    <a:off x="0" y="0"/>
                                                                    <a:ext cx="1858517" cy="976698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D35504" w:rsidRDefault="00D35504">
                                              <w:pPr>
                                                <w:jc w:val="center"/>
                                                <w:rPr>
                                                  <w:rFonts w:eastAsia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35504" w:rsidRDefault="00D35504">
                                        <w:pP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35504" w:rsidRDefault="00D35504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504" w:rsidRDefault="00D35504" w:rsidP="00D35504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D3550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D35504">
                                <w:trPr>
                                  <w:jc w:val="center"/>
                                </w:trPr>
                                <w:tc>
                                  <w:tcPr>
                                    <w:tcW w:w="2835" w:type="dxa"/>
                                    <w:vAlign w:val="center"/>
                                    <w:hideMark/>
                                  </w:tcPr>
                                  <w:p w:rsidR="00D35504" w:rsidRDefault="00D3550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798320" cy="1516380"/>
                                          <wp:effectExtent l="0" t="0" r="0" b="7620"/>
                                          <wp:docPr id="3" name="Obrázok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8320" cy="15163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35504" w:rsidRDefault="00D3550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D35504" w:rsidRDefault="00D35504">
                              <w:pPr>
                                <w:pStyle w:val="Normlnywebov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Mikrofilter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odstraňuje nečistoty do vel. 0,4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mikrónov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vzduch je nasávaný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prednou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časťou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prístroja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prechádza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trojvrstvovým 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mikrofiltrom</w:t>
                              </w:r>
                              <w:proofErr w:type="spellEnd"/>
                              <w:proofErr w:type="gram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zachytáva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peľ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prach,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srsť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zvierat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výkaly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roztočov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…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D3550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Ionizačná</w:t>
                              </w:r>
                              <w:proofErr w:type="spellEnd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komora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Vzduch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prechádza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mikrofiltrom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a je nasávaný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ventilátorom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do MODULU,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ktorý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aktivuje kyslík 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vytvára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ozón O3.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  <w:u w:val="single"/>
                                </w:rPr>
                                <w:t>Ozón čistí a dezinfikuje vzduch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ničí živé organizmy (baktérie,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vírusy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spóry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plesne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a huby…)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zabraňuje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infekcii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dýchacích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ciest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viaže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s mnohými škodlivými látkami,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ktorým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tak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mení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  chemická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štruktúra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strácajú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svoje nebezpečné vlastnosti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0"/>
                              </w:tblGrid>
                              <w:tr w:rsidR="00D35504">
                                <w:trPr>
                                  <w:jc w:val="center"/>
                                </w:trPr>
                                <w:tc>
                                  <w:tcPr>
                                    <w:tcW w:w="2520" w:type="dxa"/>
                                    <w:vAlign w:val="center"/>
                                    <w:hideMark/>
                                  </w:tcPr>
                                  <w:p w:rsidR="00D35504" w:rsidRDefault="00D3550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09700" cy="2221956"/>
                                          <wp:effectExtent l="0" t="0" r="0" b="6985"/>
                                          <wp:docPr id="2" name="Obrázok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19295" cy="2237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35504" w:rsidRDefault="00D3550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D3550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45" w:type="dxa"/>
                                <w:bottom w:w="28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D35504">
                                <w:trPr>
                                  <w:jc w:val="center"/>
                                </w:trPr>
                                <w:tc>
                                  <w:tcPr>
                                    <w:tcW w:w="4410" w:type="dxa"/>
                                    <w:vAlign w:val="center"/>
                                    <w:hideMark/>
                                  </w:tcPr>
                                  <w:p w:rsidR="00D35504" w:rsidRDefault="00D3550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651760" cy="1469997"/>
                                          <wp:effectExtent l="0" t="0" r="0" b="0"/>
                                          <wp:docPr id="1" name="Obrázok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8807" cy="147944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35504" w:rsidRDefault="00D3550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p w:rsidR="00D35504" w:rsidRDefault="00D35504">
                              <w:pPr>
                                <w:pStyle w:val="Normlnywebov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Katalyzátor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Vzduch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prechádza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katalyzátorom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s uhlíkovým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filtrom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: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zničenie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ostávajúcich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mikroorganizmov</w:t>
                              </w:r>
                              <w:proofErr w:type="spellEnd"/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zachytenie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škodlivých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látok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napr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. chemických, z cigaretového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dymu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…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zlikvidovanie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všetkých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pachov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 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napr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. z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varenia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zvieracích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...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odstránenie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ostávajúceho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ozónu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Čistý vzduch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vychádza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otvorom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hornej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časti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prístroja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späť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miestnosti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244F6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244F67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550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4779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02"/>
                        </w:tblGrid>
                        <w:tr w:rsidR="00D35504" w:rsidTr="00D35504">
                          <w:trPr>
                            <w:trHeight w:val="2311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 xml:space="preserve">Výhody </w:t>
                              </w: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>prečo</w:t>
                              </w:r>
                              <w:proofErr w:type="spellEnd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>vlastniť</w:t>
                              </w:r>
                              <w:proofErr w:type="spellEnd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>Therapy</w:t>
                              </w:r>
                              <w:proofErr w:type="spellEnd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FFFFFF"/>
                                  <w:sz w:val="21"/>
                                  <w:szCs w:val="21"/>
                                </w:rPr>
                                <w:t xml:space="preserve"> AIR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Nízka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spotreba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el.energie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– náklady na 1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deň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chodu sú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zhodné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ako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žiarovky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- Jednoduchá obsluha a tichá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prevádzka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- Vysoká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výkonnosť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rýchlosť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3, až cca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50m2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= cca 120 m3/hod.).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Nízke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prevádzkové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náklady (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nízke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ceny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filtra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katalyzátora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).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- Jednoduchá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výmena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filtra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katalyzátora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550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adpis1"/>
                                <w:spacing w:before="120" w:beforeAutospacing="0" w:after="120" w:afterAutospacing="0"/>
                                <w:jc w:val="center"/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</w:rPr>
                                <w:t xml:space="preserve">Cena: </w:t>
                              </w:r>
                              <w:r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  <w:t>599</w:t>
                              </w:r>
                              <w:r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</w:rPr>
                                <w:t>€ s</w:t>
                              </w:r>
                              <w:r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  <w:color w:val="1F497D"/>
                                </w:rPr>
                                <w:t> </w:t>
                              </w:r>
                              <w:r>
                                <w:rPr>
                                  <w:rStyle w:val="Vrazn"/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</w:rPr>
                                <w:t>DPH</w:t>
                              </w:r>
                            </w:p>
                            <w:p w:rsidR="00D35504" w:rsidRDefault="00D35504" w:rsidP="00D35504">
                              <w:pPr>
                                <w:pStyle w:val="Nadpis1"/>
                                <w:spacing w:before="120" w:beforeAutospacing="0" w:after="120" w:afterAutospacing="0"/>
                                <w:jc w:val="center"/>
                                <w:rPr>
                                  <w:rFonts w:ascii="Calibri" w:hAnsi="Calibri" w:cs="Calibri"/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 w:cs="Calibri"/>
                                  <w:color w:val="1F497D"/>
                                  <w:sz w:val="22"/>
                                  <w:szCs w:val="22"/>
                                </w:rPr>
                                <w:t>Pre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 w:cs="Calibri"/>
                                  <w:color w:val="1F497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Calibri"/>
                                  <w:color w:val="1F497D"/>
                                  <w:sz w:val="22"/>
                                  <w:szCs w:val="22"/>
                                </w:rPr>
                                <w:t>členov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 w:cs="Calibri"/>
                                  <w:color w:val="1F497D"/>
                                  <w:sz w:val="22"/>
                                  <w:szCs w:val="22"/>
                                </w:rPr>
                                <w:t xml:space="preserve"> komory.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rStyle w:val="Vrazn"/>
                                </w:rPr>
                              </w:pPr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>pôvodná</w:t>
                              </w:r>
                              <w:proofErr w:type="spellEnd"/>
                              <w:r>
                                <w:rPr>
                                  <w:rStyle w:val="Vrazn"/>
                                  <w:rFonts w:ascii="Tahoma" w:hAnsi="Tahoma" w:cs="Tahoma"/>
                                  <w:color w:val="000000"/>
                                </w:rPr>
                                <w:t xml:space="preserve"> cena: 929€s DPH)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120" w:beforeAutospacing="0" w:after="120" w:afterAutospacing="0"/>
                                <w:jc w:val="center"/>
                                <w:rPr>
                                  <w:color w:val="1F497D"/>
                                </w:rPr>
                              </w:pP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Akcia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časovo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obmedzená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>, v </w:t>
                              </w: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prípade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záujmu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reagujte </w:t>
                              </w:r>
                              <w:proofErr w:type="spellStart"/>
                              <w:r>
                                <w:rPr>
                                  <w:color w:val="1F497D"/>
                                </w:rPr>
                                <w:t>rýchlo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D35504" w:rsidRDefault="00D35504" w:rsidP="00D35504">
                        <w:pPr>
                          <w:spacing w:before="120" w:after="12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550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3550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7"/>
                              </w:tblGrid>
                              <w:tr w:rsidR="00D3550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E85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D35504" w:rsidRDefault="00D35504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textovprepojenie"/>
                                          <w:rFonts w:ascii="Tahoma" w:hAnsi="Tahoma" w:cs="Tahoma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85034"/>
                                        </w:rPr>
                                        <w:t xml:space="preserve">Objednávkový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prepojenie"/>
                                          <w:rFonts w:ascii="Tahoma" w:hAnsi="Tahoma" w:cs="Tahoma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85034"/>
                                        </w:rPr>
                                        <w:t>formulár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D35504" w:rsidRDefault="00D3550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5504" w:rsidRDefault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35504" w:rsidTr="00D3550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244F6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35504">
              <w:trPr>
                <w:jc w:val="center"/>
              </w:trPr>
              <w:tc>
                <w:tcPr>
                  <w:tcW w:w="0" w:type="auto"/>
                  <w:shd w:val="clear" w:color="auto" w:fill="244F67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3550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3550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bookmarkStart w:id="0" w:name="_GoBack" w:colFirst="0" w:colLast="1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Dodávateľ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: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COMPUTER CLUB, s.r.o.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Mostná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3,  949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 xml:space="preserve"> 01 Nitra</w:t>
                              </w:r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4" w:history="1">
                                <w:r>
                                  <w:rPr>
                                    <w:rStyle w:val="Hypertextovprepojenie"/>
                                    <w:rFonts w:ascii="Tahoma" w:hAnsi="Tahoma" w:cs="Tahoma"/>
                                    <w:sz w:val="17"/>
                                    <w:szCs w:val="17"/>
                                  </w:rPr>
                                  <w:t>compclub@compclub.sk</w:t>
                                </w:r>
                              </w:hyperlink>
                            </w:p>
                            <w:p w:rsidR="00D35504" w:rsidRDefault="00D35504" w:rsidP="00D3550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7"/>
                                  <w:szCs w:val="17"/>
                                </w:rPr>
                                <w:t>0902903777</w:t>
                              </w:r>
                            </w:p>
                          </w:tc>
                        </w:tr>
                      </w:tbl>
                      <w:p w:rsidR="00D35504" w:rsidRDefault="00D35504" w:rsidP="00D3550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0"/>
                </w:tbl>
                <w:p w:rsidR="00D35504" w:rsidRDefault="00D3550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504" w:rsidRDefault="00D355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15A9A" w:rsidRDefault="00915A9A"/>
    <w:sectPr w:rsidR="00915A9A" w:rsidSect="00D35504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4"/>
    <w:rsid w:val="00915A9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19FA5-3B9E-44C6-AB59-C007485F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5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D35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55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D35504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3550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Vrazn">
    <w:name w:val="Strong"/>
    <w:basedOn w:val="Predvolenpsmoodseku"/>
    <w:uiPriority w:val="22"/>
    <w:qFormat/>
    <w:rsid w:val="00D35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orage.googleapis.com/compclub17449/Obr%C3%A1zok4.jpg" TargetMode="External"/><Relationship Id="rId13" Type="http://schemas.openxmlformats.org/officeDocument/2006/relationships/hyperlink" Target="https://u2310997.ct.sendgrid.net/ls/click?upn=EaFImt34kFxUuy90k3O7Gu3epye-2B1C8Ynghce7VAPqmk4SJ5bvOWcTCxrKcUDrc-2F1EnjdRQzE6xAB3bqfs4fWajero2bC1Nz0QUis0g-2B8pkIoDgOJEV-2BzsX52l4HhiNYttz3LGEjsx5BMRKqpm76Vg-3D-3DsyKE_DG3amTDrP282CxUvRXl8fEiqAeyYDM-2BlmBgMLzEwfM8CYduZSOj786LnIrJG7N5ir2ynjFGjbE47unqcm2Q41PAVpYb5zMkdutOJwqaF-2FGalBjg4jlwlqg9z-2F31IeiLJmlx2fX84I1aN0eq2zQE-2FyForIgwahLXkzT84MvOVCO0-2BT-2FVRQVP8aSNTCEFifqPheMM0MO0BY90aNCpowvuDdiMQVQN7ganZaK5of8icWmu-2Fi-2BcamR7w5egvaywJf2FrgzkT0gYJurKoCZrxAJW-2BZ8CJvmoXRlP-2Fjbe7ZiC620EKnHl384GXJemHwbBLa0cHN9i9TTZ1su4J-2B08R-2BwBDRkP8PucCBhgO6Sb4cbzVKUo-3D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storage.googleapis.com/afuxova10642/pozadimz-1.pn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image" Target="https://storage.googleapis.com/compclub17449/Zepter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https://storage.googleapis.com/compclub17449/Zepter1.jpg" TargetMode="External"/><Relationship Id="rId9" Type="http://schemas.openxmlformats.org/officeDocument/2006/relationships/image" Target="https://storage.googleapis.com/afuxova10642/pozadimz-1.png" TargetMode="External"/><Relationship Id="rId14" Type="http://schemas.openxmlformats.org/officeDocument/2006/relationships/hyperlink" Target="mailto:compclub@compc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Jokayova</dc:creator>
  <cp:keywords/>
  <dc:description/>
  <cp:lastModifiedBy>Eva Jokayova</cp:lastModifiedBy>
  <cp:revision>1</cp:revision>
  <dcterms:created xsi:type="dcterms:W3CDTF">2020-04-07T14:37:00Z</dcterms:created>
  <dcterms:modified xsi:type="dcterms:W3CDTF">2020-04-07T14:42:00Z</dcterms:modified>
</cp:coreProperties>
</file>